
<file path=[Content_Types].xml><?xml version="1.0" encoding="utf-8"?>
<Types xmlns="http://schemas.openxmlformats.org/package/2006/content-types">
  <Default Extension="png" ContentType="image/png"/>
  <Default Extension="722E07A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D85" w:rsidRDefault="00742D85" w:rsidP="00742D85">
      <w:pPr>
        <w:spacing w:line="360" w:lineRule="auto"/>
        <w:ind w:left="9660" w:hangingChars="4600" w:hanging="9660"/>
        <w:rPr>
          <w:rFonts w:ascii="DengXian" w:eastAsia="DengXian" w:hAnsi="DengXian"/>
          <w:b/>
          <w:bCs/>
          <w:color w:val="002060"/>
          <w:sz w:val="32"/>
          <w:szCs w:val="32"/>
        </w:rPr>
      </w:pPr>
      <w:r>
        <w:rPr>
          <w:noProof/>
        </w:rPr>
        <w:drawing>
          <wp:inline distT="0" distB="0" distL="0" distR="0" wp14:anchorId="3B8B25E1" wp14:editId="77CAA2B7">
            <wp:extent cx="7610475" cy="3757592"/>
            <wp:effectExtent l="0" t="0" r="0" b="0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2" t="7980" r="-452" b="2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375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2060"/>
          <w:sz w:val="32"/>
          <w:szCs w:val="32"/>
        </w:rPr>
        <w:t xml:space="preserve">                       </w:t>
      </w:r>
      <w:r>
        <w:rPr>
          <w:rFonts w:ascii="DengXian" w:eastAsia="DengXian" w:hAnsi="DengXian" w:hint="eastAsia"/>
          <w:b/>
          <w:bCs/>
          <w:color w:val="002060"/>
          <w:sz w:val="32"/>
          <w:szCs w:val="32"/>
        </w:rPr>
        <w:t>【</w:t>
      </w:r>
      <w:r w:rsidR="0019238F">
        <w:rPr>
          <w:b/>
          <w:bCs/>
          <w:color w:val="002060"/>
          <w:sz w:val="32"/>
          <w:szCs w:val="32"/>
        </w:rPr>
        <w:t>2018-09</w:t>
      </w:r>
      <w:r w:rsidR="00165ECA">
        <w:rPr>
          <w:b/>
          <w:bCs/>
          <w:color w:val="002060"/>
          <w:sz w:val="32"/>
          <w:szCs w:val="32"/>
        </w:rPr>
        <w:t>-</w:t>
      </w:r>
      <w:r w:rsidR="001D5900">
        <w:rPr>
          <w:b/>
          <w:bCs/>
          <w:color w:val="002060"/>
          <w:sz w:val="32"/>
          <w:szCs w:val="32"/>
        </w:rPr>
        <w:t>20</w:t>
      </w:r>
      <w:r>
        <w:rPr>
          <w:rFonts w:ascii="DengXian" w:eastAsia="DengXian" w:hAnsi="DengXian" w:hint="eastAsia"/>
          <w:b/>
          <w:bCs/>
          <w:color w:val="002060"/>
          <w:sz w:val="32"/>
          <w:szCs w:val="32"/>
        </w:rPr>
        <w:t>】</w:t>
      </w:r>
    </w:p>
    <w:p w:rsidR="00DE187A" w:rsidRDefault="00DE187A" w:rsidP="00742D85">
      <w:pPr>
        <w:spacing w:line="360" w:lineRule="auto"/>
        <w:ind w:left="14778" w:hangingChars="4600" w:hanging="14778"/>
        <w:rPr>
          <w:b/>
          <w:bCs/>
          <w:color w:val="002060"/>
          <w:sz w:val="32"/>
          <w:szCs w:val="32"/>
        </w:rPr>
      </w:pPr>
    </w:p>
    <w:p w:rsidR="00742D85" w:rsidRDefault="00DE187A" w:rsidP="00742D85">
      <w:pPr>
        <w:spacing w:line="360" w:lineRule="auto"/>
        <w:ind w:rightChars="100" w:right="210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1514475" cy="409575"/>
            <wp:effectExtent l="0" t="0" r="0" b="9525"/>
            <wp:docPr id="10" name="Picture 10" descr="cid:image002.png@01D3E941.E310E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3E941.E310EE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6E4" w:rsidRDefault="00730614" w:rsidP="007E26E4">
      <w:pPr>
        <w:spacing w:line="360" w:lineRule="auto"/>
        <w:ind w:rightChars="100" w:right="210" w:firstLine="720"/>
        <w:rPr>
          <w:rFonts w:ascii="微软雅黑" w:eastAsia="微软雅黑" w:hAnsi="微软雅黑"/>
        </w:rPr>
      </w:pPr>
      <w:r w:rsidRPr="00730614">
        <w:rPr>
          <w:rFonts w:ascii="微软雅黑" w:eastAsia="微软雅黑" w:hAnsi="微软雅黑" w:hint="eastAsia"/>
          <w:bCs/>
        </w:rPr>
        <w:t>（1）</w:t>
      </w:r>
      <w:r w:rsidR="007E26E4">
        <w:rPr>
          <w:rFonts w:ascii="微软雅黑" w:eastAsia="微软雅黑" w:hAnsi="微软雅黑" w:hint="eastAsia"/>
          <w:b/>
          <w:bCs/>
        </w:rPr>
        <w:t>李克强：中国决不会走靠人民币贬值刺激出口的路</w:t>
      </w:r>
      <w:r w:rsidR="007E26E4">
        <w:rPr>
          <w:rFonts w:ascii="微软雅黑" w:eastAsia="微软雅黑" w:hAnsi="微软雅黑" w:hint="eastAsia"/>
        </w:rPr>
        <w:t>。李克强总理9月19日在2018年天津夏季达沃斯论坛开幕致辞中表示，近期人民币汇率走势出现一定幅度波动，有人甚至认为这是中国有意为之，这完全不符合实际：因为人民币汇率单向贬值对中国弊多利少，中国决不会走靠人民币贬值刺激出口的路。中国坚持市场化汇率改革方向不变，不仅不会搞竞争性贬值，还要为汇率稳定创造条件。中国经济基本面稳健、国际收支平衡、外汇储备充裕，人民币汇率完全能够在合理均衡水平上保持基本稳定。</w:t>
      </w:r>
    </w:p>
    <w:p w:rsidR="007E26E4" w:rsidRDefault="007E26E4" w:rsidP="007E26E4">
      <w:pPr>
        <w:spacing w:line="360" w:lineRule="auto"/>
        <w:ind w:rightChars="100" w:right="210" w:firstLine="7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（2）</w:t>
      </w:r>
      <w:r>
        <w:rPr>
          <w:rFonts w:ascii="微软雅黑" w:eastAsia="微软雅黑" w:hAnsi="微软雅黑" w:hint="eastAsia"/>
          <w:b/>
          <w:bCs/>
        </w:rPr>
        <w:t>资管大一统时代来临，中登允许银行理财直投股票</w:t>
      </w:r>
      <w:r>
        <w:rPr>
          <w:rFonts w:ascii="微软雅黑" w:eastAsia="微软雅黑" w:hAnsi="微软雅黑" w:hint="eastAsia"/>
        </w:rPr>
        <w:t>。据21世纪经济报道，中国结算发布修订后的《特殊机构及产品证券账户业务指南》。新规则明确了券商定向资管、基金专户（包括子公司专户）、私募基金、保险资管、信托产品、期货资</w:t>
      </w:r>
      <w:bookmarkStart w:id="0" w:name="_GoBack"/>
      <w:bookmarkEnd w:id="0"/>
      <w:r>
        <w:rPr>
          <w:rFonts w:ascii="微软雅黑" w:eastAsia="微软雅黑" w:hAnsi="微软雅黑" w:hint="eastAsia"/>
        </w:rPr>
        <w:t>管六大类产品接受其他产品委托，在一层嵌套情况下开立证券账户所需要提供的资料。此项内容的修订，意味着资管新规下一层嵌套被允许，银行理财委外券商资管、基金专户、私募基金等开立证券账户扫清了障碍。</w:t>
      </w:r>
    </w:p>
    <w:p w:rsidR="007E26E4" w:rsidRDefault="007E26E4" w:rsidP="007E26E4">
      <w:pPr>
        <w:spacing w:line="360" w:lineRule="auto"/>
        <w:ind w:rightChars="100" w:right="210" w:firstLine="7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（3）</w:t>
      </w:r>
      <w:r>
        <w:rPr>
          <w:rFonts w:ascii="微软雅黑" w:eastAsia="微软雅黑" w:hAnsi="微软雅黑" w:hint="eastAsia"/>
          <w:b/>
          <w:bCs/>
        </w:rPr>
        <w:t>香港抢跑美联储提前加息，汇丰率先提高定存利率</w:t>
      </w:r>
      <w:r>
        <w:rPr>
          <w:rFonts w:ascii="微软雅黑" w:eastAsia="微软雅黑" w:hAnsi="微软雅黑" w:hint="eastAsia"/>
        </w:rPr>
        <w:t>。北京时间9月19日周三傍晚，汇丰银行宣布，将从9月20日起在香港提高港元、美元、人民币定期存款利率，市场普遍预期美联储将在下周三宣布加息。对此，业界最担心香港最优惠利率按揭（p息）也将上涨，冲击当地楼市。</w:t>
      </w:r>
    </w:p>
    <w:p w:rsidR="007E26E4" w:rsidRDefault="007E26E4" w:rsidP="007E26E4">
      <w:pPr>
        <w:spacing w:line="360" w:lineRule="auto"/>
        <w:ind w:rightChars="100" w:right="210" w:firstLine="7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（4）</w:t>
      </w:r>
      <w:r>
        <w:rPr>
          <w:rFonts w:ascii="微软雅黑" w:eastAsia="微软雅黑" w:hAnsi="微软雅黑" w:hint="eastAsia"/>
          <w:b/>
          <w:bCs/>
        </w:rPr>
        <w:t>媒体称特朗普NAFTA谈判放弃买美国货要求</w:t>
      </w:r>
      <w:r>
        <w:rPr>
          <w:rFonts w:ascii="微软雅黑" w:eastAsia="微软雅黑" w:hAnsi="微软雅黑" w:hint="eastAsia"/>
        </w:rPr>
        <w:t>。据彭博等媒体援引加拿大媒体Canadian Press消息称，特朗普政府已经在NAFTA谈判上放弃了“购买美国商品”这一主张。墨西哥和加拿大都认为，它将限制各自国家竞标美国政府基础设施项目的能力。</w:t>
      </w:r>
    </w:p>
    <w:p w:rsidR="007E26E4" w:rsidRDefault="007E26E4" w:rsidP="007E26E4">
      <w:pPr>
        <w:spacing w:line="360" w:lineRule="auto"/>
        <w:ind w:rightChars="100" w:right="210" w:firstLine="7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（5）</w:t>
      </w:r>
      <w:r>
        <w:rPr>
          <w:rFonts w:ascii="微软雅黑" w:eastAsia="微软雅黑" w:hAnsi="微软雅黑" w:hint="eastAsia"/>
          <w:b/>
          <w:bCs/>
        </w:rPr>
        <w:t>日本央行按兵不动，称将在相当长时间内保持极低利率水平。</w:t>
      </w:r>
      <w:r>
        <w:rPr>
          <w:rFonts w:ascii="微软雅黑" w:eastAsia="微软雅黑" w:hAnsi="微软雅黑" w:hint="eastAsia"/>
        </w:rPr>
        <w:t>日本央行在9月议息会议上宣布，维持政策利率-0.1%不变，维持日本10年期国债收益率目标0%不变，均符合市场预期。行长黑田东彦在发布会上表示，计划保留前瞻指引，并保持低收益率环境至更长时间，在达到通胀目标之前不会退出宽松。但日本央行审议委员片冈刚士就前瞻指引中通胀会加速向2%目标回升的表述投反对票。此外，他和另外一名审议委员原田泰在收益率曲线控制上都投了反对票。</w:t>
      </w:r>
    </w:p>
    <w:p w:rsidR="007E26E4" w:rsidRDefault="007E26E4" w:rsidP="007E26E4">
      <w:pPr>
        <w:spacing w:line="360" w:lineRule="auto"/>
        <w:ind w:rightChars="100" w:right="210" w:firstLine="720"/>
        <w:rPr>
          <w:rFonts w:ascii="DengXian" w:eastAsia="DengXian" w:hAnsi="DengXian" w:hint="eastAsia"/>
        </w:rPr>
      </w:pPr>
    </w:p>
    <w:p w:rsidR="007E26E4" w:rsidRDefault="007E26E4" w:rsidP="007E26E4">
      <w:pPr>
        <w:spacing w:line="360" w:lineRule="auto"/>
        <w:ind w:rightChars="100" w:right="21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1533525" cy="409575"/>
            <wp:effectExtent l="0" t="0" r="0" b="9525"/>
            <wp:docPr id="5" name="Picture 5" descr="cid:image003.png@01D3E941.E310E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E941.E310EE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6E4" w:rsidRDefault="007E26E4" w:rsidP="007E26E4">
      <w:pPr>
        <w:spacing w:line="360" w:lineRule="auto"/>
        <w:ind w:rightChars="100" w:right="210" w:firstLine="7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（1）周三央行公开市场开展600亿元逆回购操作，逆回购到期600亿，资金零投放零回笼。今日逆回购到期1000亿。周三资金面总体均衡，早盘隔夜资金融出较少，银行跨季融出以21天至1个月押利率为主，非银跨季资金融出较多，临近中午隔夜供给增加，资金面恢复宽松，午后银行的隔夜融入需求明显增加，但融出相对减少，隔夜资金趋于紧张，尾盘资金面恢复均衡。总体来看，各期限价格较上个交易日多数下跌，成交规模较上个交易日多数增加。</w:t>
      </w:r>
    </w:p>
    <w:p w:rsidR="007E26E4" w:rsidRDefault="007E26E4" w:rsidP="007E26E4">
      <w:pPr>
        <w:spacing w:line="360" w:lineRule="auto"/>
        <w:ind w:rightChars="100" w:right="210" w:firstLine="7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（2）周三债市交投较为清淡，期货午后开始震荡，全天收益率较上个交易日上行。10年期国债期货主力合约T1812收报94.225，较上个交易日下跌0.16%；5年期国债期货主力合约TF1812收报97.410，较上个交易日下跌0.18%。剩余期限9.79年的国开债活跃券180210收益率报4.2525%/4.25%。</w:t>
      </w:r>
    </w:p>
    <w:p w:rsidR="007E26E4" w:rsidRDefault="007E26E4" w:rsidP="007E26E4">
      <w:pPr>
        <w:spacing w:line="360" w:lineRule="auto"/>
        <w:ind w:rightChars="100" w:right="210" w:firstLine="7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（3）据中国外汇交易中心数据，周三在岸人民币兑美元（CNY）北京时间23:30收报6.8501元，较上个交易日夜盘收盘涨99点；全天成交量318.27亿美元，较上个交易日增加13.87亿美元。</w:t>
      </w:r>
    </w:p>
    <w:p w:rsidR="007E26E4" w:rsidRDefault="007E26E4" w:rsidP="007E26E4">
      <w:pPr>
        <w:spacing w:line="360" w:lineRule="auto"/>
        <w:ind w:rightChars="100" w:right="210" w:firstLine="720"/>
        <w:rPr>
          <w:rFonts w:ascii="DengXian" w:eastAsia="DengXian" w:hAnsi="DengXian" w:hint="eastAsia"/>
        </w:rPr>
      </w:pPr>
    </w:p>
    <w:p w:rsidR="007E26E4" w:rsidRDefault="007E26E4" w:rsidP="007E26E4">
      <w:pPr>
        <w:spacing w:line="360" w:lineRule="auto"/>
        <w:ind w:rightChars="100" w:right="21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1581150" cy="419100"/>
            <wp:effectExtent l="0" t="0" r="0" b="0"/>
            <wp:docPr id="4" name="Picture 4" descr="cid:image004.png@01D3E941.E310E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png@01D3E941.E310EE4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6E4" w:rsidRDefault="007E26E4" w:rsidP="007E26E4">
      <w:pPr>
        <w:spacing w:line="360" w:lineRule="auto"/>
        <w:ind w:rightChars="100" w:right="210" w:firstLine="7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今日银行间市场有18广东债15等地方政府债12只，计划发行规模797.02亿；18长安银行CD130等同业存单147只，计划发行规模1130.90亿；18进出13等金融债6只，计划发行规模680亿；18东坡供水NPB等企业债2只，计划发行规模20亿；18东阳光MTN001等中期票据13只，计划发行规模119亿；18宝钢SCP009等短期融资券13只，计划发行规模131.30亿；18工元10A2等资产支持证券8只，计划发行规模227.48亿；共计201只债券发行，计划发行规模3105.70亿。</w:t>
      </w:r>
    </w:p>
    <w:p w:rsidR="005A2251" w:rsidRPr="007E26E4" w:rsidRDefault="005A2251" w:rsidP="007E26E4">
      <w:pPr>
        <w:spacing w:line="360" w:lineRule="auto"/>
        <w:ind w:rightChars="100" w:right="210" w:firstLine="720"/>
        <w:rPr>
          <w:rFonts w:ascii="DengXian" w:eastAsia="DengXian" w:hAnsi="DengXian"/>
        </w:rPr>
      </w:pPr>
    </w:p>
    <w:p w:rsidR="0041135F" w:rsidRDefault="0041135F" w:rsidP="0041135F">
      <w:pPr>
        <w:spacing w:line="360" w:lineRule="auto"/>
        <w:ind w:rightChars="100" w:right="21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1543050" cy="409575"/>
            <wp:effectExtent l="0" t="0" r="0" b="9525"/>
            <wp:docPr id="3" name="Picture 3" descr="cid:image005.png@01D3E941.E310E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3E941.E310EE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35F" w:rsidRDefault="0041135F" w:rsidP="0041135F">
      <w:pPr>
        <w:spacing w:line="360" w:lineRule="auto"/>
        <w:ind w:rightChars="100" w:right="210" w:firstLine="7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无。</w:t>
      </w:r>
    </w:p>
    <w:p w:rsidR="00E17F75" w:rsidRPr="00807E52" w:rsidRDefault="00E17F75" w:rsidP="0041135F">
      <w:pPr>
        <w:spacing w:line="360" w:lineRule="auto"/>
        <w:ind w:rightChars="100" w:right="210" w:firstLine="720"/>
        <w:rPr>
          <w:rFonts w:ascii="微软雅黑" w:eastAsia="微软雅黑" w:hAnsi="微软雅黑"/>
        </w:rPr>
      </w:pPr>
    </w:p>
    <w:p w:rsidR="00742D85" w:rsidRDefault="00742D85" w:rsidP="00742D85">
      <w:pPr>
        <w:spacing w:line="360" w:lineRule="auto"/>
        <w:ind w:rightChars="100" w:right="21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以上仅供参考，谢谢！</w:t>
      </w:r>
    </w:p>
    <w:p w:rsidR="00742D85" w:rsidRDefault="00742D85" w:rsidP="00742D85">
      <w:pPr>
        <w:spacing w:line="360" w:lineRule="auto"/>
        <w:ind w:rightChars="100" w:right="210"/>
        <w:rPr>
          <w:rFonts w:ascii="微软雅黑" w:eastAsia="微软雅黑" w:hAnsi="微软雅黑"/>
        </w:rPr>
      </w:pPr>
    </w:p>
    <w:p w:rsidR="00952D19" w:rsidRDefault="00742D85" w:rsidP="00742D85">
      <w:pPr>
        <w:spacing w:line="360" w:lineRule="auto"/>
        <w:ind w:rightChars="100" w:right="21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文/V</w:t>
      </w:r>
      <w:r>
        <w:rPr>
          <w:rFonts w:ascii="微软雅黑" w:eastAsia="微软雅黑" w:hAnsi="微软雅黑"/>
        </w:rPr>
        <w:t>ivian Shen</w:t>
      </w:r>
    </w:p>
    <w:p w:rsidR="00742D85" w:rsidRDefault="00742D85" w:rsidP="00742D85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7620000" cy="35277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3" t="5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466" cy="353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CAB" w:rsidRDefault="00536CAB"/>
    <w:sectPr w:rsidR="00536CAB" w:rsidSect="00736458">
      <w:pgSz w:w="16840" w:h="3167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7C2"/>
    <w:rsid w:val="00116FAB"/>
    <w:rsid w:val="00133973"/>
    <w:rsid w:val="0014271B"/>
    <w:rsid w:val="00165ECA"/>
    <w:rsid w:val="0019238F"/>
    <w:rsid w:val="001A0FE4"/>
    <w:rsid w:val="001C3680"/>
    <w:rsid w:val="001D5900"/>
    <w:rsid w:val="001E5391"/>
    <w:rsid w:val="001F1921"/>
    <w:rsid w:val="0020291B"/>
    <w:rsid w:val="002425E7"/>
    <w:rsid w:val="002C6A7E"/>
    <w:rsid w:val="0031417E"/>
    <w:rsid w:val="003257CE"/>
    <w:rsid w:val="00326421"/>
    <w:rsid w:val="00332845"/>
    <w:rsid w:val="00381645"/>
    <w:rsid w:val="003845BB"/>
    <w:rsid w:val="003A2736"/>
    <w:rsid w:val="003E0600"/>
    <w:rsid w:val="0041135F"/>
    <w:rsid w:val="0042339E"/>
    <w:rsid w:val="00425209"/>
    <w:rsid w:val="004465CF"/>
    <w:rsid w:val="00450BFD"/>
    <w:rsid w:val="00474282"/>
    <w:rsid w:val="004A5D3F"/>
    <w:rsid w:val="004D617F"/>
    <w:rsid w:val="004D6727"/>
    <w:rsid w:val="005261DE"/>
    <w:rsid w:val="00536CAB"/>
    <w:rsid w:val="0054102A"/>
    <w:rsid w:val="00585887"/>
    <w:rsid w:val="005A2251"/>
    <w:rsid w:val="005E3038"/>
    <w:rsid w:val="005F2C2E"/>
    <w:rsid w:val="00600BA8"/>
    <w:rsid w:val="006365A4"/>
    <w:rsid w:val="006707C2"/>
    <w:rsid w:val="0068299D"/>
    <w:rsid w:val="006B6461"/>
    <w:rsid w:val="00701328"/>
    <w:rsid w:val="007060BB"/>
    <w:rsid w:val="00730614"/>
    <w:rsid w:val="00736458"/>
    <w:rsid w:val="00742D85"/>
    <w:rsid w:val="00757603"/>
    <w:rsid w:val="0078123F"/>
    <w:rsid w:val="007D4085"/>
    <w:rsid w:val="007E26E4"/>
    <w:rsid w:val="007E7F6C"/>
    <w:rsid w:val="00807E52"/>
    <w:rsid w:val="00845AB1"/>
    <w:rsid w:val="0087199F"/>
    <w:rsid w:val="008746BC"/>
    <w:rsid w:val="008A3321"/>
    <w:rsid w:val="008D6059"/>
    <w:rsid w:val="00952D19"/>
    <w:rsid w:val="009538D6"/>
    <w:rsid w:val="009F0523"/>
    <w:rsid w:val="00A172CC"/>
    <w:rsid w:val="00A82F6A"/>
    <w:rsid w:val="00AB738B"/>
    <w:rsid w:val="00B271C9"/>
    <w:rsid w:val="00B31DA3"/>
    <w:rsid w:val="00BA167C"/>
    <w:rsid w:val="00BC67D5"/>
    <w:rsid w:val="00C420B3"/>
    <w:rsid w:val="00C802F1"/>
    <w:rsid w:val="00CB6EB2"/>
    <w:rsid w:val="00CE26F7"/>
    <w:rsid w:val="00CE7215"/>
    <w:rsid w:val="00D4072E"/>
    <w:rsid w:val="00DD1B82"/>
    <w:rsid w:val="00DD655E"/>
    <w:rsid w:val="00DE187A"/>
    <w:rsid w:val="00DF00F4"/>
    <w:rsid w:val="00E078C7"/>
    <w:rsid w:val="00E17F75"/>
    <w:rsid w:val="00E217E6"/>
    <w:rsid w:val="00E5343B"/>
    <w:rsid w:val="00E634F4"/>
    <w:rsid w:val="00E76441"/>
    <w:rsid w:val="00E85ED9"/>
    <w:rsid w:val="00F44738"/>
    <w:rsid w:val="00F65B8E"/>
    <w:rsid w:val="00F92380"/>
    <w:rsid w:val="00FC093C"/>
    <w:rsid w:val="00FE1FD7"/>
    <w:rsid w:val="00FE34C9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1132"/>
  <w15:chartTrackingRefBased/>
  <w15:docId w15:val="{1E3A803F-11B2-4AEC-A858-7849970E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D85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5.png@01D42E2D.87CCD0E0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2.png@01D40F89.5DFFAC00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cid:image004.png@01D43DE5.1606B350" TargetMode="External"/><Relationship Id="rId5" Type="http://schemas.openxmlformats.org/officeDocument/2006/relationships/image" Target="media/image1.722E07A0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cid:image003.png@01D43DE5.1606B35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F664-22E5-4FDE-A5C5-270A4347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Shen</dc:creator>
  <cp:keywords/>
  <dc:description/>
  <cp:lastModifiedBy>Vivian Shen</cp:lastModifiedBy>
  <cp:revision>91</cp:revision>
  <cp:lastPrinted>2018-09-04T01:00:00Z</cp:lastPrinted>
  <dcterms:created xsi:type="dcterms:W3CDTF">2018-05-17T08:39:00Z</dcterms:created>
  <dcterms:modified xsi:type="dcterms:W3CDTF">2018-09-20T01:11:00Z</dcterms:modified>
</cp:coreProperties>
</file>